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7060" w14:textId="076DFB36"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207C3E">
        <w:rPr>
          <w:rFonts w:ascii="Arial" w:hAnsi="Arial" w:cs="Arial"/>
          <w:b/>
          <w:bCs/>
          <w:sz w:val="20"/>
          <w:szCs w:val="20"/>
        </w:rPr>
        <w:t xml:space="preserve">- </w:t>
      </w:r>
      <w:r w:rsidR="00207C3E" w:rsidRPr="00F90AF9">
        <w:rPr>
          <w:rFonts w:ascii="Arial" w:hAnsi="Arial" w:cs="Arial"/>
          <w:b/>
          <w:bCs/>
          <w:sz w:val="20"/>
          <w:szCs w:val="20"/>
        </w:rPr>
        <w:t>neutrale versie</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Naam ondernemer]"/>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[Naam ondernemer]</w:t>
      </w:r>
      <w:r w:rsidRPr="003E059E">
        <w:rPr>
          <w:rFonts w:ascii="Arial" w:hAnsi="Arial" w:cs="Arial"/>
          <w:sz w:val="20"/>
          <w:szCs w:val="20"/>
        </w:rPr>
        <w:fldChar w:fldCharType="end"/>
      </w:r>
      <w:r w:rsidRPr="003E059E">
        <w:rPr>
          <w:rFonts w:ascii="Arial" w:hAnsi="Arial" w:cs="Arial"/>
          <w:sz w:val="20"/>
          <w:szCs w:val="20"/>
        </w:rPr>
        <w:t xml:space="preserve"> (statutaire naam, eventueel aangevuld met handelsnaam);</w:t>
      </w:r>
    </w:p>
    <w:p w14:paraId="4802615D"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Vestigingsadre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[Vestigingsadres]</w:t>
      </w:r>
      <w:r w:rsidRPr="003E059E">
        <w:rPr>
          <w:rFonts w:ascii="Arial" w:hAnsi="Arial" w:cs="Arial"/>
          <w:sz w:val="20"/>
          <w:szCs w:val="20"/>
        </w:rPr>
        <w:fldChar w:fldCharType="end"/>
      </w:r>
      <w:r w:rsidRPr="003E059E">
        <w:rPr>
          <w:rFonts w:ascii="Arial" w:hAnsi="Arial" w:cs="Arial"/>
          <w:sz w:val="20"/>
          <w:szCs w:val="20"/>
        </w:rPr>
        <w:t>;</w:t>
      </w:r>
    </w:p>
    <w:p w14:paraId="1E5E03EE"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Bezoekadres, indien dit afwijkt van het vestigingsadre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[Bezoekadres, indien dit afwijkt van het vestigingsadres]</w:t>
      </w:r>
      <w:r w:rsidRPr="003E059E">
        <w:rPr>
          <w:rFonts w:ascii="Arial" w:hAnsi="Arial" w:cs="Arial"/>
          <w:sz w:val="20"/>
          <w:szCs w:val="20"/>
        </w:rPr>
        <w:fldChar w:fldCharType="end"/>
      </w:r>
      <w:r w:rsidRPr="003E059E">
        <w:rPr>
          <w:rFonts w:ascii="Arial" w:hAnsi="Arial" w:cs="Arial"/>
          <w:sz w:val="20"/>
          <w:szCs w:val="20"/>
        </w:rPr>
        <w:t>;</w:t>
      </w:r>
    </w:p>
    <w:p w14:paraId="17C97E75"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Telefoonnummer: </w:t>
      </w:r>
      <w:r w:rsidRPr="003E059E">
        <w:rPr>
          <w:rFonts w:ascii="Arial" w:hAnsi="Arial" w:cs="Arial"/>
          <w:sz w:val="20"/>
          <w:szCs w:val="20"/>
        </w:rPr>
        <w:fldChar w:fldCharType="begin">
          <w:ffData>
            <w:name w:val=""/>
            <w:enabled/>
            <w:calcOnExit w:val="0"/>
            <w:textInput>
              <w:default w:val="[en tijdstip(pen) waarop de ondernemer telefonisch te bereiken i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[en tijdstip(pen) waarop de ondernemer telefonisch te bereiken is]</w:t>
      </w:r>
      <w:r w:rsidRPr="003E059E">
        <w:rPr>
          <w:rFonts w:ascii="Arial" w:hAnsi="Arial" w:cs="Arial"/>
          <w:sz w:val="20"/>
          <w:szCs w:val="20"/>
        </w:rPr>
        <w:fldChar w:fldCharType="end"/>
      </w:r>
    </w:p>
    <w:p w14:paraId="2804FC70" w14:textId="7998CE6F"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Pr>
          <w:rFonts w:ascii="Arial" w:hAnsi="Arial" w:cs="Arial"/>
          <w:sz w:val="20"/>
          <w:szCs w:val="20"/>
        </w:rPr>
        <w:fldChar w:fldCharType="begin">
          <w:ffData>
            <w:name w:val=""/>
            <w:enabled/>
            <w:calcOnExit w:val="0"/>
            <w:textInput>
              <w:default w:val="[of ander aan de consument aangeboden elektronisch communicatiemiddel met dezelfde functionaliteit als 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[of ander aan de consument aangeboden elektronisch communicatiemiddel met dezelfde functionaliteit als e-mail]</w:t>
      </w:r>
      <w:r>
        <w:rPr>
          <w:rFonts w:ascii="Arial" w:hAnsi="Arial" w:cs="Arial"/>
          <w:sz w:val="20"/>
          <w:szCs w:val="20"/>
        </w:rPr>
        <w:fldChar w:fldCharType="end"/>
      </w:r>
    </w:p>
    <w:p w14:paraId="6255156C" w14:textId="55AD489D"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p>
    <w:p w14:paraId="7523CE09" w14:textId="7634765A"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w:t>
      </w:r>
      <w:r w:rsidRPr="00A80FEE">
        <w:rPr>
          <w:rFonts w:ascii="Arial" w:eastAsia="Times New Roman" w:hAnsi="Arial" w:cs="Arial"/>
          <w:sz w:val="20"/>
          <w:szCs w:val="20"/>
        </w:rPr>
        <w:lastRenderedPageBreak/>
        <w:t xml:space="preserve">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w:t>
      </w:r>
      <w:bookmarkStart w:id="0" w:name="_GoBack"/>
      <w:bookmarkEnd w:id="0"/>
      <w:r w:rsidRPr="00A80FEE">
        <w:rPr>
          <w:rFonts w:ascii="Arial" w:hAnsi="Arial" w:cs="Arial"/>
          <w:sz w:val="20"/>
          <w:szCs w:val="20"/>
        </w:rPr>
        <w:t>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45329863" w14:textId="77777777" w:rsidR="001C559A" w:rsidRDefault="001C559A" w:rsidP="001C559A">
      <w:pPr>
        <w:pStyle w:val="Lijstalinea"/>
        <w:rPr>
          <w:rFonts w:ascii="Arial" w:hAnsi="Arial" w:cs="Arial"/>
          <w:sz w:val="20"/>
          <w:szCs w:val="20"/>
        </w:rPr>
      </w:pPr>
    </w:p>
    <w:p w14:paraId="21293713" w14:textId="378BC686" w:rsidR="001C559A" w:rsidRPr="00A80FEE" w:rsidRDefault="001C559A" w:rsidP="00FF4F8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[Datum]</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51CE" w14:textId="77777777" w:rsidR="00D76227" w:rsidRDefault="00D762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C3C0" w14:textId="77777777" w:rsidR="00D76227" w:rsidRDefault="00D762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AAA7" w14:textId="77777777" w:rsidR="00D76227" w:rsidRDefault="00D762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FBFF" w14:textId="77777777" w:rsidR="00D76227" w:rsidRDefault="00D7622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6C1D" w14:textId="77777777" w:rsidR="00D76227" w:rsidRDefault="00D7622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A26F" w14:textId="77777777" w:rsidR="00D76227" w:rsidRDefault="00D762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1C559A"/>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E7BC-5351-40FE-BC32-A9A0807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29134A92</Template>
  <TotalTime>0</TotalTime>
  <Pages>9</Pages>
  <Words>4630</Words>
  <Characters>25471</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Marianne van Winden</cp:lastModifiedBy>
  <cp:revision>2</cp:revision>
  <cp:lastPrinted>2014-04-23T11:48:00Z</cp:lastPrinted>
  <dcterms:created xsi:type="dcterms:W3CDTF">2020-10-12T12:36:00Z</dcterms:created>
  <dcterms:modified xsi:type="dcterms:W3CDTF">2020-10-12T12:36:00Z</dcterms:modified>
</cp:coreProperties>
</file>